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6A97" w14:textId="684CE1F2" w:rsidR="00725745" w:rsidRPr="00660347" w:rsidRDefault="00EC674A" w:rsidP="00EC674A">
      <w:pPr>
        <w:jc w:val="center"/>
        <w:rPr>
          <w:b/>
          <w:sz w:val="28"/>
          <w:lang w:val="mk-MK"/>
        </w:rPr>
      </w:pPr>
      <w:r w:rsidRPr="00660347">
        <w:rPr>
          <w:b/>
          <w:sz w:val="28"/>
          <w:lang w:val="mk-MK"/>
        </w:rPr>
        <w:t>Извештај од истражувањето</w:t>
      </w:r>
    </w:p>
    <w:p w14:paraId="3A2F1267" w14:textId="7EB9FA33" w:rsidR="00EC674A" w:rsidRPr="00660347" w:rsidRDefault="00EC674A" w:rsidP="00EC674A">
      <w:pPr>
        <w:ind w:firstLine="720"/>
        <w:jc w:val="both"/>
        <w:rPr>
          <w:sz w:val="24"/>
          <w:lang w:val="mk-MK"/>
        </w:rPr>
      </w:pPr>
      <w:proofErr w:type="spellStart"/>
      <w:r w:rsidRPr="00660347">
        <w:rPr>
          <w:sz w:val="24"/>
        </w:rPr>
        <w:t>Со</w:t>
      </w:r>
      <w:proofErr w:type="spellEnd"/>
      <w:r w:rsidRPr="00660347">
        <w:rPr>
          <w:sz w:val="24"/>
        </w:rPr>
        <w:t xml:space="preserve"> </w:t>
      </w:r>
      <w:proofErr w:type="spellStart"/>
      <w:r w:rsidRPr="00660347">
        <w:rPr>
          <w:sz w:val="24"/>
        </w:rPr>
        <w:t>цел</w:t>
      </w:r>
      <w:proofErr w:type="spellEnd"/>
      <w:r w:rsidRPr="00660347">
        <w:rPr>
          <w:sz w:val="24"/>
        </w:rPr>
        <w:t xml:space="preserve"> </w:t>
      </w:r>
      <w:proofErr w:type="spellStart"/>
      <w:r w:rsidRPr="00660347">
        <w:rPr>
          <w:sz w:val="24"/>
        </w:rPr>
        <w:t>да</w:t>
      </w:r>
      <w:proofErr w:type="spellEnd"/>
      <w:r w:rsidRPr="00660347">
        <w:rPr>
          <w:sz w:val="24"/>
        </w:rPr>
        <w:t xml:space="preserve"> </w:t>
      </w:r>
      <w:proofErr w:type="spellStart"/>
      <w:r w:rsidRPr="00660347">
        <w:rPr>
          <w:sz w:val="24"/>
        </w:rPr>
        <w:t>се</w:t>
      </w:r>
      <w:proofErr w:type="spellEnd"/>
      <w:r w:rsidRPr="00660347">
        <w:rPr>
          <w:sz w:val="24"/>
        </w:rPr>
        <w:t xml:space="preserve"> </w:t>
      </w:r>
      <w:proofErr w:type="spellStart"/>
      <w:r w:rsidRPr="00660347">
        <w:rPr>
          <w:sz w:val="24"/>
        </w:rPr>
        <w:t>подобри</w:t>
      </w:r>
      <w:proofErr w:type="spellEnd"/>
      <w:r w:rsidRPr="00660347">
        <w:rPr>
          <w:sz w:val="24"/>
        </w:rPr>
        <w:t xml:space="preserve"> </w:t>
      </w:r>
      <w:proofErr w:type="spellStart"/>
      <w:r w:rsidRPr="00660347">
        <w:rPr>
          <w:sz w:val="24"/>
        </w:rPr>
        <w:t>квалитетот</w:t>
      </w:r>
      <w:proofErr w:type="spellEnd"/>
      <w:r w:rsidRPr="00660347">
        <w:rPr>
          <w:sz w:val="24"/>
        </w:rPr>
        <w:t xml:space="preserve"> и </w:t>
      </w:r>
      <w:proofErr w:type="spellStart"/>
      <w:r w:rsidRPr="00660347">
        <w:rPr>
          <w:sz w:val="24"/>
        </w:rPr>
        <w:t>влијанието</w:t>
      </w:r>
      <w:proofErr w:type="spellEnd"/>
      <w:r w:rsidRPr="00660347">
        <w:rPr>
          <w:sz w:val="24"/>
        </w:rPr>
        <w:t xml:space="preserve"> </w:t>
      </w:r>
      <w:proofErr w:type="spellStart"/>
      <w:r w:rsidRPr="00660347">
        <w:rPr>
          <w:sz w:val="24"/>
        </w:rPr>
        <w:t>на</w:t>
      </w:r>
      <w:proofErr w:type="spellEnd"/>
      <w:r w:rsidRPr="00660347">
        <w:rPr>
          <w:sz w:val="24"/>
        </w:rPr>
        <w:t xml:space="preserve"> </w:t>
      </w:r>
      <w:proofErr w:type="spellStart"/>
      <w:r w:rsidRPr="00660347">
        <w:rPr>
          <w:sz w:val="24"/>
        </w:rPr>
        <w:t>резултатите</w:t>
      </w:r>
      <w:proofErr w:type="spellEnd"/>
      <w:r w:rsidRPr="00660347">
        <w:rPr>
          <w:sz w:val="24"/>
        </w:rPr>
        <w:t xml:space="preserve"> </w:t>
      </w:r>
      <w:proofErr w:type="spellStart"/>
      <w:r w:rsidRPr="00660347">
        <w:rPr>
          <w:sz w:val="24"/>
        </w:rPr>
        <w:t>од</w:t>
      </w:r>
      <w:proofErr w:type="spellEnd"/>
      <w:r w:rsidRPr="00660347">
        <w:rPr>
          <w:sz w:val="24"/>
        </w:rPr>
        <w:t xml:space="preserve"> </w:t>
      </w:r>
      <w:proofErr w:type="spellStart"/>
      <w:r w:rsidRPr="00660347">
        <w:rPr>
          <w:sz w:val="24"/>
        </w:rPr>
        <w:t>програм</w:t>
      </w:r>
      <w:proofErr w:type="spellEnd"/>
      <w:r w:rsidRPr="00660347">
        <w:rPr>
          <w:sz w:val="24"/>
          <w:lang w:val="mk-MK"/>
        </w:rPr>
        <w:t xml:space="preserve">ата ЕРАЗМУС+, </w:t>
      </w:r>
      <w:r w:rsidRPr="00660347">
        <w:rPr>
          <w:sz w:val="24"/>
        </w:rPr>
        <w:t xml:space="preserve">и </w:t>
      </w:r>
      <w:proofErr w:type="spellStart"/>
      <w:r w:rsidRPr="00660347">
        <w:rPr>
          <w:sz w:val="24"/>
        </w:rPr>
        <w:t>да</w:t>
      </w:r>
      <w:proofErr w:type="spellEnd"/>
      <w:r w:rsidRPr="00660347">
        <w:rPr>
          <w:sz w:val="24"/>
        </w:rPr>
        <w:t xml:space="preserve"> </w:t>
      </w:r>
      <w:proofErr w:type="spellStart"/>
      <w:r w:rsidRPr="00660347">
        <w:rPr>
          <w:sz w:val="24"/>
        </w:rPr>
        <w:t>се</w:t>
      </w:r>
      <w:proofErr w:type="spellEnd"/>
      <w:r w:rsidRPr="00660347">
        <w:rPr>
          <w:sz w:val="24"/>
        </w:rPr>
        <w:t xml:space="preserve"> </w:t>
      </w:r>
      <w:proofErr w:type="spellStart"/>
      <w:r w:rsidRPr="00660347">
        <w:rPr>
          <w:sz w:val="24"/>
        </w:rPr>
        <w:t>обезбеди</w:t>
      </w:r>
      <w:proofErr w:type="spellEnd"/>
      <w:r w:rsidRPr="00660347">
        <w:rPr>
          <w:sz w:val="24"/>
        </w:rPr>
        <w:t xml:space="preserve"> </w:t>
      </w:r>
      <w:proofErr w:type="spellStart"/>
      <w:r w:rsidRPr="00660347">
        <w:rPr>
          <w:sz w:val="24"/>
        </w:rPr>
        <w:t>основа</w:t>
      </w:r>
      <w:proofErr w:type="spellEnd"/>
      <w:r w:rsidRPr="00660347">
        <w:rPr>
          <w:sz w:val="24"/>
        </w:rPr>
        <w:t xml:space="preserve"> </w:t>
      </w:r>
      <w:proofErr w:type="spellStart"/>
      <w:r w:rsidRPr="00660347">
        <w:rPr>
          <w:sz w:val="24"/>
        </w:rPr>
        <w:t>за</w:t>
      </w:r>
      <w:proofErr w:type="spellEnd"/>
      <w:r w:rsidRPr="00660347">
        <w:rPr>
          <w:sz w:val="24"/>
        </w:rPr>
        <w:t xml:space="preserve"> </w:t>
      </w:r>
      <w:proofErr w:type="spellStart"/>
      <w:r w:rsidRPr="00660347">
        <w:rPr>
          <w:sz w:val="24"/>
        </w:rPr>
        <w:t>активностите</w:t>
      </w:r>
      <w:proofErr w:type="spellEnd"/>
      <w:r w:rsidRPr="00660347">
        <w:rPr>
          <w:sz w:val="24"/>
        </w:rPr>
        <w:t xml:space="preserve"> </w:t>
      </w:r>
      <w:proofErr w:type="spellStart"/>
      <w:r w:rsidRPr="00660347">
        <w:rPr>
          <w:sz w:val="24"/>
        </w:rPr>
        <w:t>на</w:t>
      </w:r>
      <w:proofErr w:type="spellEnd"/>
      <w:r w:rsidRPr="00660347">
        <w:rPr>
          <w:sz w:val="24"/>
        </w:rPr>
        <w:t xml:space="preserve"> Н</w:t>
      </w:r>
      <w:r w:rsidRPr="00660347">
        <w:rPr>
          <w:sz w:val="24"/>
          <w:lang w:val="mk-MK"/>
        </w:rPr>
        <w:t xml:space="preserve">ационалната </w:t>
      </w:r>
      <w:r w:rsidRPr="00660347">
        <w:rPr>
          <w:sz w:val="24"/>
        </w:rPr>
        <w:t>А</w:t>
      </w:r>
      <w:r w:rsidRPr="00660347">
        <w:rPr>
          <w:sz w:val="24"/>
          <w:lang w:val="mk-MK"/>
        </w:rPr>
        <w:t>генција за Европски Образовни Програми и Мобилност (НАЕ</w:t>
      </w:r>
      <w:r w:rsidR="000442DF" w:rsidRPr="00660347">
        <w:rPr>
          <w:sz w:val="24"/>
          <w:lang w:val="mk-MK"/>
        </w:rPr>
        <w:t>ОПМ)</w:t>
      </w:r>
      <w:r w:rsidRPr="00660347">
        <w:rPr>
          <w:sz w:val="24"/>
        </w:rPr>
        <w:t xml:space="preserve"> </w:t>
      </w:r>
      <w:r w:rsidRPr="00660347">
        <w:rPr>
          <w:sz w:val="24"/>
          <w:lang w:val="mk-MK"/>
        </w:rPr>
        <w:t>за</w:t>
      </w:r>
      <w:r w:rsidRPr="00660347">
        <w:rPr>
          <w:sz w:val="24"/>
        </w:rPr>
        <w:t xml:space="preserve"> </w:t>
      </w:r>
      <w:r w:rsidRPr="00660347">
        <w:rPr>
          <w:sz w:val="24"/>
          <w:lang w:val="mk-MK"/>
        </w:rPr>
        <w:t xml:space="preserve">следните години, </w:t>
      </w:r>
      <w:r w:rsidR="000442DF" w:rsidRPr="00660347">
        <w:rPr>
          <w:sz w:val="24"/>
          <w:lang w:val="mk-MK"/>
        </w:rPr>
        <w:t xml:space="preserve">НАЕОПМ спроведе анкетен прашалник со корисници од полето на Високото образование. Анектниот прашалник беше подготвен и утврден според ИСО стандардите, а пред да се испрати до студентите, беше консултирана и Директорката на НА. Прашалникот беше подготвен во електронска форма, и беше доставен до студенти кои учествувале во програмата ЕРАЗМУС+, а податоците на овој извештај со основаат на одговорените прашања од 50 студенти. </w:t>
      </w:r>
      <w:r w:rsidR="00577567" w:rsidRPr="00660347">
        <w:rPr>
          <w:sz w:val="24"/>
          <w:lang w:val="mk-MK"/>
        </w:rPr>
        <w:t xml:space="preserve">Од вкупниот број добиени одговори, на прашалникот одговорија 47% од машкиот пол и 53% од женскиот.  </w:t>
      </w:r>
    </w:p>
    <w:p w14:paraId="289F938F" w14:textId="6BAD3313" w:rsidR="002A1FA1" w:rsidRPr="00660347" w:rsidRDefault="006A7F02" w:rsidP="00660347">
      <w:pPr>
        <w:jc w:val="both"/>
        <w:rPr>
          <w:sz w:val="24"/>
          <w:lang w:val="mk-MK"/>
        </w:rPr>
      </w:pPr>
      <w:r>
        <w:rPr>
          <w:b/>
          <w:noProof/>
          <w:sz w:val="24"/>
        </w:rPr>
        <w:drawing>
          <wp:anchor distT="0" distB="0" distL="114300" distR="114300" simplePos="0" relativeHeight="251658240" behindDoc="0" locked="0" layoutInCell="1" allowOverlap="1" wp14:anchorId="10FF396C" wp14:editId="4EDD0A59">
            <wp:simplePos x="0" y="0"/>
            <wp:positionH relativeFrom="margin">
              <wp:align>left</wp:align>
            </wp:positionH>
            <wp:positionV relativeFrom="paragraph">
              <wp:posOffset>-2540</wp:posOffset>
            </wp:positionV>
            <wp:extent cx="3467100" cy="1724025"/>
            <wp:effectExtent l="0" t="0" r="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00577567">
        <w:rPr>
          <w:sz w:val="24"/>
          <w:lang w:val="mk-MK"/>
        </w:rPr>
        <w:t>Поголем број на одговори добивме од студенти кои студираат во Универзитет “Св. Кирил и Методиј“ – Скопје, вкупно 37%. Од Универзитет “Гоце Делчев“, од вкупниот број</w:t>
      </w:r>
      <w:r w:rsidR="00660347">
        <w:rPr>
          <w:sz w:val="24"/>
          <w:lang w:val="mk-MK"/>
        </w:rPr>
        <w:t>,</w:t>
      </w:r>
      <w:r w:rsidR="00577567">
        <w:rPr>
          <w:sz w:val="24"/>
          <w:lang w:val="mk-MK"/>
        </w:rPr>
        <w:t xml:space="preserve"> одговорија 33% од студентите</w:t>
      </w:r>
      <w:r w:rsidR="00660347">
        <w:rPr>
          <w:sz w:val="24"/>
          <w:lang w:val="mk-MK"/>
        </w:rPr>
        <w:t xml:space="preserve">. Следи Универзитет “Климент Охридски“ – Битола со 17%, Југоисточен Европски Универзитет – Тетово со 11 % и 2% од одговорите беа од Балкански Универзитет. </w:t>
      </w:r>
    </w:p>
    <w:p w14:paraId="67CC72E6" w14:textId="25F596E0" w:rsidR="001421AA" w:rsidRDefault="001421AA">
      <w:pPr>
        <w:rPr>
          <w:b/>
          <w:sz w:val="24"/>
          <w:lang w:val="mk-MK"/>
        </w:rPr>
      </w:pPr>
      <w:r>
        <w:rPr>
          <w:b/>
          <w:noProof/>
          <w:sz w:val="24"/>
        </w:rPr>
        <w:drawing>
          <wp:inline distT="0" distB="0" distL="0" distR="0" wp14:anchorId="584F7C91" wp14:editId="00E7E899">
            <wp:extent cx="5962650" cy="2486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9A9D6C8" w14:textId="50046043" w:rsidR="00977F8E" w:rsidRDefault="002A1FA1" w:rsidP="00791EC4">
      <w:pPr>
        <w:jc w:val="both"/>
        <w:rPr>
          <w:sz w:val="24"/>
          <w:lang w:val="mk-MK"/>
        </w:rPr>
      </w:pPr>
      <w:r>
        <w:rPr>
          <w:sz w:val="24"/>
          <w:lang w:val="mk-MK"/>
        </w:rPr>
        <w:t>Поголемиот број студенти кои што одговорија на прашалникот се од Факултетите за Медицина, Економија, ИТ и Машински, и 81% од нив биле на мобилност во период на додиплосмки студии а 19% за нивните постдипломски студии (магистерски студии).</w:t>
      </w:r>
    </w:p>
    <w:p w14:paraId="14230E71" w14:textId="77777777" w:rsidR="002A1FA1" w:rsidRPr="002A1FA1" w:rsidRDefault="002A1FA1" w:rsidP="00791EC4">
      <w:pPr>
        <w:jc w:val="both"/>
        <w:rPr>
          <w:sz w:val="24"/>
          <w:lang w:val="mk-MK"/>
        </w:rPr>
      </w:pPr>
    </w:p>
    <w:p w14:paraId="0061B855" w14:textId="62AB42F1" w:rsidR="00A05C79" w:rsidRPr="00055B4B" w:rsidRDefault="00055B4B" w:rsidP="00791EC4">
      <w:pPr>
        <w:jc w:val="both"/>
        <w:rPr>
          <w:sz w:val="24"/>
          <w:lang w:val="mk-MK"/>
        </w:rPr>
      </w:pPr>
      <w:r>
        <w:rPr>
          <w:noProof/>
          <w:sz w:val="24"/>
          <w:lang w:val="mk-MK"/>
        </w:rPr>
        <w:lastRenderedPageBreak/>
        <w:t>72% од студентите, во склоп на еден циклус на образование, биле на мобилност во времетраење од еден семестар, а останатите, 28%, мобилноста ја искористиле за 2 семестри. Скоро сите, 98%</w:t>
      </w:r>
      <w:r w:rsidR="007B3CF4">
        <w:rPr>
          <w:noProof/>
          <w:sz w:val="24"/>
          <w:lang w:val="mk-MK"/>
        </w:rPr>
        <w:t xml:space="preserve"> од анкетираните</w:t>
      </w:r>
      <w:r>
        <w:rPr>
          <w:noProof/>
          <w:sz w:val="24"/>
          <w:lang w:val="mk-MK"/>
        </w:rPr>
        <w:t xml:space="preserve">, тврдат дека за периодот на мобилноста ги подобриле јазичните вештини, и англискиот и официјалниот јазик на земјата каде што биле на мобилност. </w:t>
      </w:r>
    </w:p>
    <w:p w14:paraId="01DBC808" w14:textId="08A59D6F" w:rsidR="00055B4B" w:rsidRPr="00791EC4" w:rsidRDefault="001D72B9" w:rsidP="00791EC4">
      <w:pPr>
        <w:jc w:val="both"/>
        <w:rPr>
          <w:sz w:val="24"/>
          <w:lang w:val="mk-MK"/>
        </w:rPr>
      </w:pPr>
      <w:r w:rsidRPr="00A726D8">
        <w:rPr>
          <w:noProof/>
          <w:sz w:val="24"/>
          <w:highlight w:val="yellow"/>
        </w:rPr>
        <w:drawing>
          <wp:anchor distT="0" distB="0" distL="114300" distR="114300" simplePos="0" relativeHeight="251660288" behindDoc="0" locked="0" layoutInCell="1" allowOverlap="1" wp14:anchorId="69AAC2A8" wp14:editId="54955848">
            <wp:simplePos x="0" y="0"/>
            <wp:positionH relativeFrom="margin">
              <wp:align>right</wp:align>
            </wp:positionH>
            <wp:positionV relativeFrom="paragraph">
              <wp:posOffset>2402205</wp:posOffset>
            </wp:positionV>
            <wp:extent cx="3086100" cy="24003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783F51" w:rsidRPr="007B3CF4">
        <w:rPr>
          <w:noProof/>
          <w:sz w:val="24"/>
        </w:rPr>
        <w:drawing>
          <wp:anchor distT="0" distB="0" distL="114300" distR="114300" simplePos="0" relativeHeight="251659264" behindDoc="0" locked="0" layoutInCell="1" allowOverlap="1" wp14:anchorId="2542BF36" wp14:editId="492F2287">
            <wp:simplePos x="0" y="0"/>
            <wp:positionH relativeFrom="column">
              <wp:posOffset>0</wp:posOffset>
            </wp:positionH>
            <wp:positionV relativeFrom="paragraph">
              <wp:posOffset>-635</wp:posOffset>
            </wp:positionV>
            <wp:extent cx="3267075" cy="212407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7B3CF4">
        <w:rPr>
          <w:sz w:val="24"/>
          <w:lang w:val="mk-MK"/>
        </w:rPr>
        <w:t>Мнозинството студенти, 59%,</w:t>
      </w:r>
      <w:r w:rsidR="007B3CF4" w:rsidRPr="007B3CF4">
        <w:rPr>
          <w:sz w:val="24"/>
          <w:lang w:val="mk-MK"/>
        </w:rPr>
        <w:t xml:space="preserve"> се </w:t>
      </w:r>
      <w:r w:rsidR="007B3CF4">
        <w:rPr>
          <w:sz w:val="24"/>
          <w:lang w:val="mk-MK"/>
        </w:rPr>
        <w:t>задоволни со поддршката што ја добиле од домашниот Универзитет, а другите се делумно или незадоволни од поддршката. Незадоволството е поврзано со задоцнувањето на исплатата од страна на Универзитетите кон студентите. 75% од</w:t>
      </w:r>
      <w:r w:rsidR="00C744F3">
        <w:rPr>
          <w:sz w:val="24"/>
          <w:lang w:val="mk-MK"/>
        </w:rPr>
        <w:t xml:space="preserve"> анкетираните</w:t>
      </w:r>
      <w:r w:rsidR="007B3CF4">
        <w:rPr>
          <w:sz w:val="24"/>
          <w:lang w:val="mk-MK"/>
        </w:rPr>
        <w:t xml:space="preserve"> студентите кажуваат дека </w:t>
      </w:r>
      <w:r w:rsidR="00A726D8">
        <w:rPr>
          <w:sz w:val="24"/>
          <w:lang w:val="mk-MK"/>
        </w:rPr>
        <w:t xml:space="preserve">сите средства им се исплатени, додека другите 25% уште чекаат за исплата согласно договорите за учење. </w:t>
      </w:r>
      <w:r w:rsidR="007B3CF4">
        <w:rPr>
          <w:sz w:val="24"/>
          <w:lang w:val="mk-MK"/>
        </w:rPr>
        <w:t xml:space="preserve"> </w:t>
      </w:r>
    </w:p>
    <w:p w14:paraId="4D4B23BC" w14:textId="5B94A085" w:rsidR="000778EA" w:rsidRDefault="001D72B9" w:rsidP="00DD0F93">
      <w:pPr>
        <w:jc w:val="both"/>
        <w:rPr>
          <w:sz w:val="24"/>
          <w:lang w:val="mk-MK"/>
        </w:rPr>
      </w:pPr>
      <w:r>
        <w:rPr>
          <w:b/>
          <w:noProof/>
          <w:sz w:val="24"/>
        </w:rPr>
        <w:drawing>
          <wp:anchor distT="0" distB="0" distL="114300" distR="114300" simplePos="0" relativeHeight="251661312" behindDoc="0" locked="0" layoutInCell="1" allowOverlap="1" wp14:anchorId="11D05CCB" wp14:editId="64E90C95">
            <wp:simplePos x="0" y="0"/>
            <wp:positionH relativeFrom="column">
              <wp:posOffset>-180975</wp:posOffset>
            </wp:positionH>
            <wp:positionV relativeFrom="paragraph">
              <wp:posOffset>2211705</wp:posOffset>
            </wp:positionV>
            <wp:extent cx="2886075" cy="2305050"/>
            <wp:effectExtent l="0" t="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DD0F93">
        <w:rPr>
          <w:sz w:val="24"/>
          <w:lang w:val="mk-MK"/>
        </w:rPr>
        <w:t xml:space="preserve">Во врска со ЕКТС, студентите потврдуваат дека сите стекнати кредити се признаени од домашниот Универзитет во согласност со наставната програма. Има исклучоци каде што за некој предмет за време на мобилноста студентот добил 8 кредити, а во домашниот Универзитет им се признаени само 6, затоа што толку кредити носи тој предмет во домашниот Универзитет. </w:t>
      </w:r>
    </w:p>
    <w:p w14:paraId="6FDEF9D6" w14:textId="582379AE" w:rsidR="00DD0F93" w:rsidRDefault="00DD0F93" w:rsidP="00DD0F93">
      <w:pPr>
        <w:jc w:val="both"/>
        <w:rPr>
          <w:sz w:val="24"/>
          <w:lang w:val="mk-MK"/>
        </w:rPr>
      </w:pPr>
    </w:p>
    <w:p w14:paraId="63FFFAA0" w14:textId="6BC9649C" w:rsidR="00DD0F93" w:rsidRPr="005F5007" w:rsidRDefault="00DD0F93" w:rsidP="00DD0F93">
      <w:pPr>
        <w:jc w:val="both"/>
        <w:rPr>
          <w:b/>
          <w:sz w:val="24"/>
        </w:rPr>
      </w:pPr>
      <w:r>
        <w:rPr>
          <w:sz w:val="24"/>
          <w:lang w:val="mk-MK"/>
        </w:rPr>
        <w:t xml:space="preserve">81% од студентите што веќе биле на мобилност, повторно би учествувале во размена во склоп на програмата ЕРАЗМУС+, и сите анкетирани студенти, 100%, ја препорачуваат програмата и за другите студенти. </w:t>
      </w:r>
    </w:p>
    <w:sectPr w:rsidR="00DD0F93" w:rsidRPr="005F5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DB"/>
    <w:rsid w:val="000442DF"/>
    <w:rsid w:val="00055B4B"/>
    <w:rsid w:val="000778EA"/>
    <w:rsid w:val="000A328C"/>
    <w:rsid w:val="001421AA"/>
    <w:rsid w:val="001B625B"/>
    <w:rsid w:val="001D72B9"/>
    <w:rsid w:val="002A1FA1"/>
    <w:rsid w:val="002C41DB"/>
    <w:rsid w:val="002E2C69"/>
    <w:rsid w:val="00414F8F"/>
    <w:rsid w:val="00577567"/>
    <w:rsid w:val="005F5007"/>
    <w:rsid w:val="00660347"/>
    <w:rsid w:val="006A7F02"/>
    <w:rsid w:val="00725745"/>
    <w:rsid w:val="00783F51"/>
    <w:rsid w:val="00791EC4"/>
    <w:rsid w:val="007B3CF4"/>
    <w:rsid w:val="007E1E94"/>
    <w:rsid w:val="00977F8E"/>
    <w:rsid w:val="00997EF8"/>
    <w:rsid w:val="009A5F64"/>
    <w:rsid w:val="00A05C79"/>
    <w:rsid w:val="00A726D8"/>
    <w:rsid w:val="00C744F3"/>
    <w:rsid w:val="00D6373C"/>
    <w:rsid w:val="00DB3453"/>
    <w:rsid w:val="00DC46C1"/>
    <w:rsid w:val="00DD0F93"/>
    <w:rsid w:val="00E14ED6"/>
    <w:rsid w:val="00E77D31"/>
    <w:rsid w:val="00EC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B053"/>
  <w15:chartTrackingRefBased/>
  <w15:docId w15:val="{17F9F851-5896-4760-A946-267CAA1F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mk-M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691011920723531E-2"/>
          <c:y val="0.29569573034139962"/>
          <c:w val="0.55374889284350293"/>
          <c:h val="0.59678924749790896"/>
        </c:manualLayout>
      </c:layout>
      <c:pie3DChart>
        <c:varyColors val="1"/>
        <c:ser>
          <c:idx val="0"/>
          <c:order val="0"/>
          <c:tx>
            <c:strRef>
              <c:f>Sheet1!$B$1</c:f>
              <c:strCache>
                <c:ptCount val="1"/>
                <c:pt idx="0">
                  <c:v>Пол</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6A1-49AF-95E9-49A68C5E6F7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16A1-49AF-95E9-49A68C5E6F75}"/>
              </c:ext>
            </c:extLst>
          </c:dPt>
          <c:dLbls>
            <c:dLbl>
              <c:idx val="0"/>
              <c:layout>
                <c:manualLayout>
                  <c:x val="9.045132945338355E-2"/>
                  <c:y val="-0.11467247445133188"/>
                </c:manualLayout>
              </c:layout>
              <c:spPr>
                <a:noFill/>
                <a:ln>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mk-MK"/>
                </a:p>
              </c:txPr>
              <c:dLblPos val="bestFit"/>
              <c:showLegendKey val="0"/>
              <c:showVal val="0"/>
              <c:showCatName val="0"/>
              <c:showSerName val="0"/>
              <c:showPercent val="1"/>
              <c:showBubbleSize val="0"/>
              <c:extLst>
                <c:ext xmlns:c15="http://schemas.microsoft.com/office/drawing/2012/chart" uri="{CE6537A1-D6FC-4f65-9D91-7224C49458BB}">
                  <c15:layout>
                    <c:manualLayout>
                      <c:w val="0.12618055555555555"/>
                      <c:h val="0.12067460317460317"/>
                    </c:manualLayout>
                  </c15:layout>
                </c:ext>
                <c:ext xmlns:c16="http://schemas.microsoft.com/office/drawing/2014/chart" uri="{C3380CC4-5D6E-409C-BE32-E72D297353CC}">
                  <c16:uniqueId val="{00000001-16A1-49AF-95E9-49A68C5E6F75}"/>
                </c:ext>
              </c:extLst>
            </c:dLbl>
            <c:dLbl>
              <c:idx val="1"/>
              <c:spPr>
                <a:noFill/>
                <a:ln>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mk-MK"/>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6A1-49AF-95E9-49A68C5E6F75}"/>
                </c:ext>
              </c:extLst>
            </c:dLbl>
            <c:spPr>
              <a:noFill/>
              <a:ln>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Женски</c:v>
                </c:pt>
                <c:pt idx="1">
                  <c:v>Машки</c:v>
                </c:pt>
              </c:strCache>
            </c:strRef>
          </c:cat>
          <c:val>
            <c:numRef>
              <c:f>Sheet1!$B$2:$B$3</c:f>
              <c:numCache>
                <c:formatCode>General</c:formatCode>
                <c:ptCount val="2"/>
                <c:pt idx="0">
                  <c:v>25</c:v>
                </c:pt>
                <c:pt idx="1">
                  <c:v>22</c:v>
                </c:pt>
              </c:numCache>
            </c:numRef>
          </c:val>
          <c:extLst>
            <c:ext xmlns:c16="http://schemas.microsoft.com/office/drawing/2014/chart" uri="{C3380CC4-5D6E-409C-BE32-E72D297353CC}">
              <c16:uniqueId val="{00000000-16A1-49AF-95E9-49A68C5E6F75}"/>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1624253974622598"/>
          <c:y val="0.68654649573761972"/>
          <c:w val="0.23205008609592589"/>
          <c:h val="0.26088067503958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b="1"/>
              <a:t>УНИВЕРЗИТЕТ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mk-M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Sheet1!$B$1</c:f>
              <c:strCache>
                <c:ptCount val="1"/>
                <c:pt idx="0">
                  <c:v>Универзитет</c:v>
                </c:pt>
              </c:strCache>
            </c:strRef>
          </c:tx>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3-7813-4541-B65F-B08B11E0B7FC}"/>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4-7813-4541-B65F-B08B11E0B7FC}"/>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7813-4541-B65F-B08B11E0B7FC}"/>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6-7813-4541-B65F-B08B11E0B7FC}"/>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7-7813-4541-B65F-B08B11E0B7FC}"/>
              </c:ext>
            </c:extLst>
          </c:dPt>
          <c:dLbls>
            <c:dLbl>
              <c:idx val="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13-4541-B65F-B08B11E0B7FC}"/>
                </c:ext>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813-4541-B65F-B08B11E0B7FC}"/>
                </c:ext>
              </c:extLst>
            </c:dLbl>
            <c:dLbl>
              <c:idx val="2"/>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813-4541-B65F-B08B11E0B7FC}"/>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813-4541-B65F-B08B11E0B7FC}"/>
                </c:ext>
              </c:extLst>
            </c:dLbl>
            <c:dLbl>
              <c:idx val="4"/>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813-4541-B65F-B08B11E0B7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УКИМ - Скопје</c:v>
                </c:pt>
                <c:pt idx="1">
                  <c:v>УГД - Штип</c:v>
                </c:pt>
                <c:pt idx="2">
                  <c:v>УКЛО - Битола</c:v>
                </c:pt>
                <c:pt idx="3">
                  <c:v>ЈИЕУ - Тетово</c:v>
                </c:pt>
                <c:pt idx="4">
                  <c:v>Балкан Универ.</c:v>
                </c:pt>
              </c:strCache>
            </c:strRef>
          </c:cat>
          <c:val>
            <c:numRef>
              <c:f>Sheet1!$B$2:$B$6</c:f>
              <c:numCache>
                <c:formatCode>General</c:formatCode>
                <c:ptCount val="5"/>
                <c:pt idx="0">
                  <c:v>37</c:v>
                </c:pt>
                <c:pt idx="1">
                  <c:v>33</c:v>
                </c:pt>
                <c:pt idx="2">
                  <c:v>17</c:v>
                </c:pt>
                <c:pt idx="3">
                  <c:v>11</c:v>
                </c:pt>
                <c:pt idx="4">
                  <c:v>2</c:v>
                </c:pt>
              </c:numCache>
            </c:numRef>
          </c:val>
          <c:extLst>
            <c:ext xmlns:c16="http://schemas.microsoft.com/office/drawing/2014/chart" uri="{C3380CC4-5D6E-409C-BE32-E72D297353CC}">
              <c16:uniqueId val="{00000000-7813-4541-B65F-B08B11E0B7FC}"/>
            </c:ext>
          </c:extLst>
        </c:ser>
        <c:dLbls>
          <c:showLegendKey val="0"/>
          <c:showVal val="0"/>
          <c:showCatName val="0"/>
          <c:showSerName val="0"/>
          <c:showPercent val="0"/>
          <c:showBubbleSize val="0"/>
        </c:dLbls>
        <c:gapWidth val="150"/>
        <c:shape val="box"/>
        <c:axId val="273830224"/>
        <c:axId val="273830784"/>
        <c:axId val="0"/>
      </c:bar3DChart>
      <c:catAx>
        <c:axId val="273830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273830784"/>
        <c:crosses val="autoZero"/>
        <c:auto val="1"/>
        <c:lblAlgn val="ctr"/>
        <c:lblOffset val="100"/>
        <c:noMultiLvlLbl val="0"/>
      </c:catAx>
      <c:valAx>
        <c:axId val="273830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273830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mk-MK"/>
        </a:p>
      </c:txPr>
    </c:title>
    <c:autoTitleDeleted val="0"/>
    <c:plotArea>
      <c:layout>
        <c:manualLayout>
          <c:layoutTarget val="inner"/>
          <c:xMode val="edge"/>
          <c:yMode val="edge"/>
          <c:x val="0.11845417760279965"/>
          <c:y val="0.256566366704162"/>
          <c:w val="0.41586960484106156"/>
          <c:h val="0.71291932258467694"/>
        </c:manualLayout>
      </c:layout>
      <c:doughnutChart>
        <c:varyColors val="1"/>
        <c:ser>
          <c:idx val="0"/>
          <c:order val="0"/>
          <c:tx>
            <c:strRef>
              <c:f>Sheet1!$B$1</c:f>
              <c:strCache>
                <c:ptCount val="1"/>
                <c:pt idx="0">
                  <c:v>Поддршка од домашниот Универзитет</c:v>
                </c:pt>
              </c:strCache>
            </c:strRef>
          </c:tx>
          <c:explosion val="19"/>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498A-4AB6-84E8-9D516319139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98A-4AB6-84E8-9D516319139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498A-4AB6-84E8-9D51631913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mk-MK"/>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Целосно задоволен/на</c:v>
                </c:pt>
                <c:pt idx="1">
                  <c:v>Делумно задоволен/на</c:v>
                </c:pt>
                <c:pt idx="2">
                  <c:v>Незадоволен</c:v>
                </c:pt>
              </c:strCache>
            </c:strRef>
          </c:cat>
          <c:val>
            <c:numRef>
              <c:f>Sheet1!$B$2:$B$4</c:f>
              <c:numCache>
                <c:formatCode>General</c:formatCode>
                <c:ptCount val="3"/>
                <c:pt idx="0">
                  <c:v>58.7</c:v>
                </c:pt>
                <c:pt idx="1">
                  <c:v>37</c:v>
                </c:pt>
                <c:pt idx="2">
                  <c:v>4.3</c:v>
                </c:pt>
              </c:numCache>
            </c:numRef>
          </c:val>
          <c:extLst>
            <c:ext xmlns:c16="http://schemas.microsoft.com/office/drawing/2014/chart" uri="{C3380CC4-5D6E-409C-BE32-E72D297353CC}">
              <c16:uniqueId val="{00000000-498A-4AB6-84E8-9D516319139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layout>
        <c:manualLayout>
          <c:xMode val="edge"/>
          <c:yMode val="edge"/>
          <c:x val="0.62658865558471855"/>
          <c:y val="0.60750000000000004"/>
          <c:w val="0.32552639253426657"/>
          <c:h val="0.328869516310461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mk-MK"/>
        </a:p>
      </c:txPr>
    </c:title>
    <c:autoTitleDeleted val="0"/>
    <c:plotArea>
      <c:layout>
        <c:manualLayout>
          <c:layoutTarget val="inner"/>
          <c:xMode val="edge"/>
          <c:yMode val="edge"/>
          <c:x val="9.2991214639836686E-2"/>
          <c:y val="0.2049790651168604"/>
          <c:w val="0.36031404928550598"/>
          <c:h val="0.61768122734658171"/>
        </c:manualLayout>
      </c:layout>
      <c:doughnutChart>
        <c:varyColors val="1"/>
        <c:ser>
          <c:idx val="0"/>
          <c:order val="0"/>
          <c:tx>
            <c:strRef>
              <c:f>Sheet1!$B$1</c:f>
              <c:strCache>
                <c:ptCount val="1"/>
                <c:pt idx="0">
                  <c:v>Времетраење на мобилноста</c:v>
                </c:pt>
              </c:strCache>
            </c:strRef>
          </c:tx>
          <c:dPt>
            <c:idx val="0"/>
            <c:bubble3D val="0"/>
            <c:explosion val="26"/>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C6D-4EE4-B847-9CDF166A349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990-4101-8233-E5917F4F11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mk-MK"/>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1 Семестар</c:v>
                </c:pt>
                <c:pt idx="1">
                  <c:v>2 Семестри</c:v>
                </c:pt>
              </c:strCache>
            </c:strRef>
          </c:cat>
          <c:val>
            <c:numRef>
              <c:f>Sheet1!$B$2:$B$3</c:f>
              <c:numCache>
                <c:formatCode>General</c:formatCode>
                <c:ptCount val="2"/>
                <c:pt idx="0">
                  <c:v>8.1999999999999993</c:v>
                </c:pt>
                <c:pt idx="1">
                  <c:v>3.2</c:v>
                </c:pt>
              </c:numCache>
            </c:numRef>
          </c:val>
          <c:extLst>
            <c:ext xmlns:c16="http://schemas.microsoft.com/office/drawing/2014/chart" uri="{C3380CC4-5D6E-409C-BE32-E72D297353CC}">
              <c16:uniqueId val="{00000000-2C6D-4EE4-B847-9CDF166A349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layout>
        <c:manualLayout>
          <c:xMode val="edge"/>
          <c:yMode val="edge"/>
          <c:x val="0.7094424394867308"/>
          <c:y val="0.71067460317460318"/>
          <c:w val="0.24315215806357537"/>
          <c:h val="0.221726659167604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mk-MK"/>
        </a:p>
      </c:txPr>
    </c:title>
    <c:autoTitleDeleted val="0"/>
    <c:plotArea>
      <c:layout>
        <c:manualLayout>
          <c:layoutTarget val="inner"/>
          <c:xMode val="edge"/>
          <c:yMode val="edge"/>
          <c:x val="5.1614897831022667E-2"/>
          <c:y val="0.29267462534925076"/>
          <c:w val="0.45385161210676889"/>
          <c:h val="0.66001354669376"/>
        </c:manualLayout>
      </c:layout>
      <c:doughnutChart>
        <c:varyColors val="1"/>
        <c:ser>
          <c:idx val="0"/>
          <c:order val="0"/>
          <c:tx>
            <c:strRef>
              <c:f>Sheet1!$B$1</c:f>
              <c:strCache>
                <c:ptCount val="1"/>
                <c:pt idx="0">
                  <c:v>Дали повторно би учествувале во програмата ЕРАЗМУС+</c:v>
                </c:pt>
              </c:strCache>
            </c:strRef>
          </c:tx>
          <c:explosion val="1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4E5-4B56-842B-29E91D45849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4E5-4B56-842B-29E91D45849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4E5-4B56-842B-29E91D4584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mk-MK"/>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ДА</c:v>
                </c:pt>
                <c:pt idx="1">
                  <c:v>НЕ</c:v>
                </c:pt>
                <c:pt idx="2">
                  <c:v>МОЖЕБИ</c:v>
                </c:pt>
              </c:strCache>
            </c:strRef>
          </c:cat>
          <c:val>
            <c:numRef>
              <c:f>Sheet1!$B$2:$B$4</c:f>
              <c:numCache>
                <c:formatCode>General</c:formatCode>
                <c:ptCount val="3"/>
                <c:pt idx="0">
                  <c:v>81</c:v>
                </c:pt>
                <c:pt idx="1">
                  <c:v>2</c:v>
                </c:pt>
                <c:pt idx="2">
                  <c:v>17</c:v>
                </c:pt>
              </c:numCache>
            </c:numRef>
          </c:val>
          <c:extLst>
            <c:ext xmlns:c16="http://schemas.microsoft.com/office/drawing/2014/chart" uri="{C3380CC4-5D6E-409C-BE32-E72D297353CC}">
              <c16:uniqueId val="{00000006-14E5-4B56-842B-29E91D45849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723705378411857"/>
          <c:y val="0.51148535004552997"/>
          <c:w val="0.22750032483563312"/>
          <c:h val="0.447698323423857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02</dc:creator>
  <cp:keywords/>
  <dc:description/>
  <cp:lastModifiedBy>Емир Муриќ</cp:lastModifiedBy>
  <cp:revision>2</cp:revision>
  <dcterms:created xsi:type="dcterms:W3CDTF">2023-01-16T13:22:00Z</dcterms:created>
  <dcterms:modified xsi:type="dcterms:W3CDTF">2023-01-16T13:22:00Z</dcterms:modified>
</cp:coreProperties>
</file>